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9A9F" w14:textId="6F8DD997" w:rsidR="00D86FD8" w:rsidRDefault="00D86F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644FB22" wp14:editId="71EE77CE">
            <wp:simplePos x="0" y="0"/>
            <wp:positionH relativeFrom="column">
              <wp:posOffset>4460240</wp:posOffset>
            </wp:positionH>
            <wp:positionV relativeFrom="paragraph">
              <wp:posOffset>-5080</wp:posOffset>
            </wp:positionV>
            <wp:extent cx="682625" cy="518160"/>
            <wp:effectExtent l="0" t="0" r="3175" b="0"/>
            <wp:wrapNone/>
            <wp:docPr id="2038163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C2EBFA" w14:textId="6F33B2A2" w:rsidR="00D86FD8" w:rsidRDefault="00D86F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7640303" w14:textId="77777777" w:rsidR="00D86FD8" w:rsidRDefault="00D86FD8" w:rsidP="00D86FD8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328410F" w14:textId="77777777" w:rsidR="00D86FD8" w:rsidRDefault="00D86FD8" w:rsidP="00D86FD8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02AB187" w14:textId="7B65B1D4" w:rsidR="00345D53" w:rsidRDefault="00000000">
      <w:pPr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SECRETARIA MUNICIPAL DE EDUCAÇÃO</w:t>
      </w:r>
    </w:p>
    <w:p w14:paraId="70E96746" w14:textId="77777777" w:rsidR="00345D53" w:rsidRDefault="00000000">
      <w:pPr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MUNICÍPIO DE ITAPEMIRIM</w:t>
      </w:r>
    </w:p>
    <w:p w14:paraId="452BE376" w14:textId="77777777" w:rsidR="00345D53" w:rsidRDefault="00000000">
      <w:pPr>
        <w:jc w:val="center"/>
      </w:pPr>
      <w:r>
        <w:rPr>
          <w:rFonts w:ascii="Arial" w:eastAsia="Arial" w:hAnsi="Arial" w:cs="Arial"/>
          <w:i/>
          <w:iCs/>
        </w:rPr>
        <w:t>Núcleo de Gerenciamento da Educação Infantil</w:t>
      </w:r>
    </w:p>
    <w:p w14:paraId="3FC20999" w14:textId="77777777" w:rsidR="00345D53" w:rsidRDefault="00000000">
      <w:pPr>
        <w:spacing w:after="16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OBSERVAÇÃO DAS TURMAS NO CONSELHO DE CLASSE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4"/>
      </w:tblGrid>
      <w:tr w:rsidR="00345D53" w14:paraId="4C488C8E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7035C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UNIDADE ESCOLAR: CMEBTI "DINORAH RODRIGUES PEÇANHA"</w:t>
            </w:r>
          </w:p>
        </w:tc>
      </w:tr>
      <w:tr w:rsidR="00345D53" w14:paraId="6FA6F12C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4FCE7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PEDAGOGO (A): LECENILDA ROSA DOS SANTOS</w:t>
            </w:r>
          </w:p>
        </w:tc>
      </w:tr>
      <w:tr w:rsidR="00345D53" w14:paraId="11442576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F1B38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PROFESSORA: PATRÍCIA RESPERI DA SILVA</w:t>
            </w:r>
          </w:p>
        </w:tc>
      </w:tr>
      <w:tr w:rsidR="00345D53" w14:paraId="74307E38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DEBEA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GRUPO: GV          TURMA: 01          TURNO: INTEGRAL          TRIMESTRE: 1º</w:t>
            </w:r>
          </w:p>
        </w:tc>
      </w:tr>
      <w:tr w:rsidR="00345D53" w14:paraId="26739EA5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72142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1) Informações sobre as turmas – PERFIL (relacionamento, participação, cumprimento das atividades, frequência e rendimento):</w:t>
            </w:r>
          </w:p>
        </w:tc>
      </w:tr>
      <w:tr w:rsidR="00345D53" w14:paraId="77220114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99E63A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</w:rPr>
              <w:t>A turma da Pré-Escola GV da Educação Infantil é participativa, carinhosa e apresenta boa interação entre as crianças e a professora. As crianças demonstram interesse pelas atividades propostas e participam da rotina escolar de forma satisfatória. Em alguns momentos, a turma apresenta agitação e conversas excessivas, necessitando de mediações constantes para favorecer a organização, atenção e cumprimento das atividades. Alguns alunos apresentam número significativo de faltas, interferindo no desenvolvimento da aprendizagem. A turma também possui crianças que necessitam de acompanhamento mais individualizado, bem como encaminhamento e acompanhamento de profissionais especializados da área da saúde, visando melhor desenvolvimento pedagógico, social e emocional.</w:t>
            </w:r>
          </w:p>
        </w:tc>
      </w:tr>
      <w:tr w:rsidR="00345D53" w14:paraId="335D9796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05D71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1.1 – PROCEDIMENTOS:</w:t>
            </w:r>
          </w:p>
        </w:tc>
      </w:tr>
      <w:tr w:rsidR="00345D53" w14:paraId="4907BC73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8D1FBF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</w:rPr>
              <w:t>Conversas e acompanhamento junto à pedagoga para possíveis intervenções pedagógicas. Orientação às famílias quanto à importância do acompanhamento especializado e da frequência escolar para o desenvolvimento integral das crianças. Realização de atividades lúdicas e direcionadas para favorecer a atenção, interação, desenvolvimento da aprendizagem e participação das crianças na rotina escolar.</w:t>
            </w:r>
          </w:p>
        </w:tc>
      </w:tr>
      <w:tr w:rsidR="00345D53" w14:paraId="0482D629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42958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2) Alunos faltosos/desistentes:</w:t>
            </w:r>
          </w:p>
        </w:tc>
      </w:tr>
      <w:tr w:rsidR="00345D53" w14:paraId="09E3CA60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5E976C" w14:textId="77777777" w:rsidR="00345D53" w:rsidRPr="00D86FD8" w:rsidRDefault="00000000">
            <w:pPr>
              <w:jc w:val="both"/>
            </w:pPr>
            <w:r w:rsidRPr="00D86FD8">
              <w:rPr>
                <w:rFonts w:ascii="Arial" w:eastAsia="Arial" w:hAnsi="Arial" w:cs="Arial"/>
              </w:rPr>
              <w:t xml:space="preserve">Noah Souza de Brito (43 faltas), Mariana Paiva Leal Batalha (23 faltas), Elisa Soares Baptista (19 faltas), Lucca Najar Fontana (18 faltas), </w:t>
            </w:r>
            <w:proofErr w:type="spellStart"/>
            <w:r w:rsidRPr="00D86FD8">
              <w:rPr>
                <w:rFonts w:ascii="Arial" w:eastAsia="Arial" w:hAnsi="Arial" w:cs="Arial"/>
              </w:rPr>
              <w:t>Nicollas</w:t>
            </w:r>
            <w:proofErr w:type="spellEnd"/>
            <w:r w:rsidRPr="00D86FD8">
              <w:rPr>
                <w:rFonts w:ascii="Arial" w:eastAsia="Arial" w:hAnsi="Arial" w:cs="Arial"/>
              </w:rPr>
              <w:t xml:space="preserve"> Gabri Ferreira (15 faltas), Maria Cecília </w:t>
            </w:r>
            <w:proofErr w:type="spellStart"/>
            <w:r w:rsidRPr="00D86FD8">
              <w:rPr>
                <w:rFonts w:ascii="Arial" w:eastAsia="Arial" w:hAnsi="Arial" w:cs="Arial"/>
              </w:rPr>
              <w:t>Altoe</w:t>
            </w:r>
            <w:proofErr w:type="spellEnd"/>
            <w:r w:rsidRPr="00D86FD8">
              <w:rPr>
                <w:rFonts w:ascii="Arial" w:eastAsia="Arial" w:hAnsi="Arial" w:cs="Arial"/>
              </w:rPr>
              <w:t xml:space="preserve"> (13 faltas) e Ana Laura Pereira </w:t>
            </w:r>
            <w:proofErr w:type="spellStart"/>
            <w:r w:rsidRPr="00D86FD8">
              <w:rPr>
                <w:rFonts w:ascii="Arial" w:eastAsia="Arial" w:hAnsi="Arial" w:cs="Arial"/>
              </w:rPr>
              <w:t>Landin</w:t>
            </w:r>
            <w:proofErr w:type="spellEnd"/>
            <w:r w:rsidRPr="00D86FD8">
              <w:rPr>
                <w:rFonts w:ascii="Arial" w:eastAsia="Arial" w:hAnsi="Arial" w:cs="Arial"/>
              </w:rPr>
              <w:t xml:space="preserve"> (11 faltas).</w:t>
            </w:r>
          </w:p>
        </w:tc>
      </w:tr>
      <w:tr w:rsidR="00345D53" w14:paraId="5684AEA5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9126E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2.1 – PROCEDIMENTOS:</w:t>
            </w:r>
          </w:p>
        </w:tc>
      </w:tr>
      <w:tr w:rsidR="00345D53" w14:paraId="43E6458E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2CE1FC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</w:rPr>
              <w:t>Conversas e acompanhamento junto à pedagoga. Realização de busca ativa e orientações às famílias quanto à importância da frequência escolar para o desenvolvimento da aprendizagem e participação das crianças na rotina. Conversas e acompanhamento junto à equipe pedagógica para possíveis intervenções.</w:t>
            </w:r>
          </w:p>
        </w:tc>
      </w:tr>
      <w:tr w:rsidR="00D86FD8" w14:paraId="1D7E8865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B5E0D1" w14:textId="2F1A6A1C" w:rsidR="00D86FD8" w:rsidRDefault="00D86FD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3) Alunos com dificuldades cognitivas (Parâmetros: Direito de aprendizagem):</w:t>
            </w:r>
          </w:p>
        </w:tc>
      </w:tr>
      <w:tr w:rsidR="00D86FD8" w14:paraId="0CD3C0ED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D364EE" w14:textId="35BC589B" w:rsidR="00D86FD8" w:rsidRDefault="00D86FD8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Estella </w:t>
            </w:r>
            <w:proofErr w:type="spellStart"/>
            <w:r>
              <w:rPr>
                <w:rFonts w:ascii="Arial" w:eastAsia="Arial" w:hAnsi="Arial" w:cs="Arial"/>
              </w:rPr>
              <w:t>Yeslí</w:t>
            </w:r>
            <w:proofErr w:type="spellEnd"/>
            <w:r>
              <w:rPr>
                <w:rFonts w:ascii="Arial" w:eastAsia="Arial" w:hAnsi="Arial" w:cs="Arial"/>
              </w:rPr>
              <w:t xml:space="preserve"> Gonzalez </w:t>
            </w:r>
            <w:proofErr w:type="spellStart"/>
            <w:r>
              <w:rPr>
                <w:rFonts w:ascii="Arial" w:eastAsia="Arial" w:hAnsi="Arial" w:cs="Arial"/>
              </w:rPr>
              <w:t>Bonicenha</w:t>
            </w:r>
            <w:proofErr w:type="spellEnd"/>
            <w:r>
              <w:rPr>
                <w:rFonts w:ascii="Arial" w:eastAsia="Arial" w:hAnsi="Arial" w:cs="Arial"/>
              </w:rPr>
              <w:t xml:space="preserve">, Maria Cecília </w:t>
            </w:r>
            <w:proofErr w:type="spellStart"/>
            <w:r>
              <w:rPr>
                <w:rFonts w:ascii="Arial" w:eastAsia="Arial" w:hAnsi="Arial" w:cs="Arial"/>
              </w:rPr>
              <w:t>Altoe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Nicollas</w:t>
            </w:r>
            <w:proofErr w:type="spellEnd"/>
            <w:r>
              <w:rPr>
                <w:rFonts w:ascii="Arial" w:eastAsia="Arial" w:hAnsi="Arial" w:cs="Arial"/>
              </w:rPr>
              <w:t xml:space="preserve"> Gabri Ferreira, Lucca Najar Fontana, Ana Laura Pereira </w:t>
            </w:r>
            <w:proofErr w:type="spellStart"/>
            <w:r>
              <w:rPr>
                <w:rFonts w:ascii="Arial" w:eastAsia="Arial" w:hAnsi="Arial" w:cs="Arial"/>
              </w:rPr>
              <w:t>Landin</w:t>
            </w:r>
            <w:proofErr w:type="spellEnd"/>
            <w:r>
              <w:rPr>
                <w:rFonts w:ascii="Arial" w:eastAsia="Arial" w:hAnsi="Arial" w:cs="Arial"/>
              </w:rPr>
              <w:t xml:space="preserve"> e Elisa Soares Baptista apresentam dificuldades no desenvolvimento da aprendizagem, necessitando de acompanhamento mais individualizado e estratégias diferenciadas para favorecer avanços nos direitos de aprendizagem e desenvolvimento.</w:t>
            </w:r>
          </w:p>
        </w:tc>
      </w:tr>
    </w:tbl>
    <w:p w14:paraId="13E90C32" w14:textId="77777777" w:rsidR="00D86FD8" w:rsidRDefault="00D86FD8">
      <w:pPr>
        <w:spacing w:before="200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4"/>
      </w:tblGrid>
      <w:tr w:rsidR="00345D53" w14:paraId="0D6C2443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F5BA9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3.1 – PROCEDIMENTOS:</w:t>
            </w:r>
          </w:p>
        </w:tc>
      </w:tr>
      <w:tr w:rsidR="00345D53" w14:paraId="0D07C6F9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B7C4DB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</w:rPr>
              <w:t>Realização de atividades lúdicas e direcionadas, utilizando tampinhas de garrafa, alfabeto móvel, bingo pedagógico e outros recursos concretos para auxiliar no desenvolvimento da atenção, oralidade, identificação das letras, coordenação e aprendizagem das crianças. Conversas e acompanhamento junto à pedagoga para possíveis intervenções pedagógicas e acompanhamento individualizado conforme as necessidades apresentadas.</w:t>
            </w:r>
          </w:p>
        </w:tc>
      </w:tr>
      <w:tr w:rsidR="00345D53" w14:paraId="1E60699B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907E2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4) Alunos que necessitam de acompanhamento de outros profissionais:</w:t>
            </w:r>
          </w:p>
        </w:tc>
      </w:tr>
      <w:tr w:rsidR="00345D53" w14:paraId="2D94588D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C02690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</w:rPr>
              <w:t>Hugo Ferreira de Almeida, Uriel de Faria Junqueira e Noah Guimarães Lucas Corrêa realizam acompanhamento com profissionais especializados da área da saúde. Lavinia de Andrade também realiza acompanhamento especializado. Lorenzo Costa dos Santos necessita de encaminhamento e orientação à família para acompanhamento psicológico. Rian Alves da Silva encontra-se em período de avaliação diagnóstica, realizando acompanhamento com neurologista e uso de medicação, necessitando de acompanhamento contínuo para auxiliar em seu desenvolvimento pedagógico, social e emocional.</w:t>
            </w:r>
          </w:p>
        </w:tc>
      </w:tr>
      <w:tr w:rsidR="00345D53" w14:paraId="75FE16CB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5E4FA" w14:textId="77777777" w:rsidR="00345D53" w:rsidRDefault="00000000">
            <w:r>
              <w:rPr>
                <w:rFonts w:ascii="Arial" w:eastAsia="Arial" w:hAnsi="Arial" w:cs="Arial"/>
                <w:b/>
                <w:bCs/>
              </w:rPr>
              <w:t>4.1 – PROCEDIMENTOS:</w:t>
            </w:r>
          </w:p>
        </w:tc>
      </w:tr>
      <w:tr w:rsidR="00345D53" w14:paraId="11A494DF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BD70FE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</w:rPr>
              <w:t>Conversas e acompanhamento junto à pedagoga e às famílias para alinhamento das necessidades apresentadas pelos alunos. Orientações quanto à importância do acompanhamento especializado e continuidade dos atendimentos realizados pelos profissionais da área da saúde. Desenvolvimento de estratégias pedagógicas e atividades direcionadas, respeitando as particularidades e necessidades individuais de cada criança.</w:t>
            </w:r>
          </w:p>
        </w:tc>
      </w:tr>
      <w:tr w:rsidR="00345D53" w14:paraId="41D3F80C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EFE542" w14:textId="77777777" w:rsidR="00345D53" w:rsidRDefault="00000000"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Fundamentação das intervenções pedagógicas:</w:t>
            </w:r>
          </w:p>
          <w:p w14:paraId="1B3B024D" w14:textId="77777777" w:rsidR="00345D53" w:rsidRDefault="00000000">
            <w:pPr>
              <w:jc w:val="both"/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As intervenções pedagógicas realizadas fundamentam-se na Lei de Diretrizes e Bases da Educação Nacional – LDB nº 9.394/1996, Estatuto da Criança e do Adolescente – ECA, Base Nacional Comum Curricular – BNCC e Diretrizes Curriculares Nacionais para a Educação Infantil, garantindo ações voltadas à proteção, segurança, desenvolvimento integral, convivência social, mediação de conflitos e acompanhamento pedagógico das crianças no ambiente escolar.</w:t>
            </w:r>
          </w:p>
        </w:tc>
      </w:tr>
      <w:tr w:rsidR="00345D53" w14:paraId="0CF2FF9D" w14:textId="77777777" w:rsidTr="00D86FD8">
        <w:tblPrEx>
          <w:tblCellMar>
            <w:top w:w="0" w:type="dxa"/>
            <w:bottom w:w="0" w:type="dxa"/>
          </w:tblCellMar>
        </w:tblPrEx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60" w:type="dxa"/>
              <w:right w:w="120" w:type="dxa"/>
            </w:tcMar>
          </w:tcPr>
          <w:p w14:paraId="1CACECB0" w14:textId="77777777" w:rsidR="00D86FD8" w:rsidRDefault="00D86FD8" w:rsidP="00D86FD8">
            <w:pPr>
              <w:jc w:val="right"/>
              <w:rPr>
                <w:rFonts w:ascii="Arial" w:eastAsia="Arial" w:hAnsi="Arial" w:cs="Arial"/>
                <w:b/>
                <w:bCs/>
              </w:rPr>
            </w:pPr>
          </w:p>
          <w:p w14:paraId="466CAC94" w14:textId="06A0A72E" w:rsidR="00D86FD8" w:rsidRDefault="00D86FD8" w:rsidP="00D86FD8">
            <w:pPr>
              <w:spacing w:line="360" w:lineRule="auto"/>
              <w:rPr>
                <w:rFonts w:ascii="Arial" w:eastAsia="Arial" w:hAnsi="Arial" w:cs="Arial"/>
              </w:rPr>
            </w:pPr>
            <w:r w:rsidRPr="00D86FD8">
              <w:rPr>
                <w:rFonts w:ascii="Arial" w:eastAsia="Arial" w:hAnsi="Arial" w:cs="Arial"/>
                <w:b/>
                <w:bCs/>
              </w:rPr>
              <w:t>Diretor(a):</w:t>
            </w:r>
            <w:r w:rsidRPr="00D86FD8">
              <w:rPr>
                <w:rFonts w:ascii="Arial" w:eastAsia="Arial" w:hAnsi="Arial" w:cs="Arial"/>
              </w:rPr>
              <w:t xml:space="preserve"> Iolanda Garcia Rangel da Silva</w:t>
            </w:r>
          </w:p>
          <w:p w14:paraId="6B4D06F8" w14:textId="3BD3C656" w:rsidR="00D86FD8" w:rsidRPr="00D86FD8" w:rsidRDefault="00D86FD8" w:rsidP="00D86FD8">
            <w:pPr>
              <w:spacing w:line="360" w:lineRule="auto"/>
              <w:rPr>
                <w:rFonts w:ascii="Arial" w:eastAsia="Arial" w:hAnsi="Arial" w:cs="Arial"/>
              </w:rPr>
            </w:pPr>
            <w:r w:rsidRPr="00D86FD8">
              <w:rPr>
                <w:rFonts w:ascii="Arial" w:eastAsia="Arial" w:hAnsi="Arial" w:cs="Arial"/>
                <w:b/>
                <w:bCs/>
              </w:rPr>
              <w:t>Especialista em Educação/Pedagogo(a):</w:t>
            </w:r>
            <w:r w:rsidRPr="00D86FD8">
              <w:rPr>
                <w:rFonts w:ascii="Arial" w:eastAsia="Arial" w:hAnsi="Arial" w:cs="Arial"/>
              </w:rPr>
              <w:t xml:space="preserve"> Lecenilda Rosa dos Santos</w:t>
            </w:r>
          </w:p>
          <w:p w14:paraId="05114D36" w14:textId="77777777" w:rsidR="00D86FD8" w:rsidRPr="00D86FD8" w:rsidRDefault="00D86FD8" w:rsidP="00D86FD8">
            <w:pPr>
              <w:spacing w:line="360" w:lineRule="auto"/>
              <w:rPr>
                <w:rFonts w:ascii="Arial" w:eastAsia="Arial" w:hAnsi="Arial" w:cs="Arial"/>
              </w:rPr>
            </w:pPr>
            <w:r w:rsidRPr="00D86FD8">
              <w:rPr>
                <w:rFonts w:ascii="Arial" w:eastAsia="Arial" w:hAnsi="Arial" w:cs="Arial"/>
                <w:b/>
                <w:bCs/>
              </w:rPr>
              <w:t>Assinatura do(s) professor(es):</w:t>
            </w:r>
            <w:r w:rsidRPr="00D86FD8">
              <w:rPr>
                <w:rFonts w:ascii="Arial" w:eastAsia="Arial" w:hAnsi="Arial" w:cs="Arial"/>
              </w:rPr>
              <w:t xml:space="preserve"> Patrícia </w:t>
            </w:r>
            <w:proofErr w:type="spellStart"/>
            <w:r w:rsidRPr="00D86FD8">
              <w:rPr>
                <w:rFonts w:ascii="Arial" w:eastAsia="Arial" w:hAnsi="Arial" w:cs="Arial"/>
              </w:rPr>
              <w:t>Resperi</w:t>
            </w:r>
            <w:proofErr w:type="spellEnd"/>
            <w:r w:rsidRPr="00D86FD8">
              <w:rPr>
                <w:rFonts w:ascii="Arial" w:eastAsia="Arial" w:hAnsi="Arial" w:cs="Arial"/>
              </w:rPr>
              <w:t xml:space="preserve"> da Silva</w:t>
            </w:r>
          </w:p>
          <w:p w14:paraId="244D46A1" w14:textId="77777777" w:rsidR="00D86FD8" w:rsidRDefault="00D86FD8" w:rsidP="00D86FD8">
            <w:pPr>
              <w:jc w:val="right"/>
              <w:rPr>
                <w:rFonts w:ascii="Arial" w:eastAsia="Arial" w:hAnsi="Arial" w:cs="Arial"/>
                <w:b/>
                <w:bCs/>
              </w:rPr>
            </w:pPr>
          </w:p>
          <w:p w14:paraId="4BDA3368" w14:textId="62AF3500" w:rsidR="00345D53" w:rsidRPr="00D86FD8" w:rsidRDefault="00000000" w:rsidP="00D86FD8">
            <w:pPr>
              <w:jc w:val="right"/>
              <w:rPr>
                <w:b/>
                <w:bCs/>
              </w:rPr>
            </w:pPr>
            <w:r w:rsidRPr="00D86FD8">
              <w:rPr>
                <w:rFonts w:ascii="Arial" w:eastAsia="Arial" w:hAnsi="Arial" w:cs="Arial"/>
                <w:b/>
                <w:bCs/>
              </w:rPr>
              <w:t>Itapemirim, 18 de maio de 2026</w:t>
            </w:r>
          </w:p>
        </w:tc>
      </w:tr>
    </w:tbl>
    <w:p w14:paraId="6144F3EA" w14:textId="77777777" w:rsidR="006E22B0" w:rsidRDefault="006E22B0"/>
    <w:sectPr w:rsidR="006E22B0" w:rsidSect="00D86FD8">
      <w:pgSz w:w="16838" w:h="11906" w:orient="landscape"/>
      <w:pgMar w:top="800" w:right="800" w:bottom="800" w:left="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5DE1"/>
    <w:multiLevelType w:val="hybridMultilevel"/>
    <w:tmpl w:val="972018BC"/>
    <w:lvl w:ilvl="0" w:tplc="5ADAD9B4">
      <w:start w:val="1"/>
      <w:numFmt w:val="bullet"/>
      <w:lvlText w:val="●"/>
      <w:lvlJc w:val="left"/>
      <w:pPr>
        <w:ind w:left="720" w:hanging="360"/>
      </w:pPr>
    </w:lvl>
    <w:lvl w:ilvl="1" w:tplc="8FEE07D4">
      <w:start w:val="1"/>
      <w:numFmt w:val="bullet"/>
      <w:lvlText w:val="○"/>
      <w:lvlJc w:val="left"/>
      <w:pPr>
        <w:ind w:left="1440" w:hanging="360"/>
      </w:pPr>
    </w:lvl>
    <w:lvl w:ilvl="2" w:tplc="C914BC9C">
      <w:start w:val="1"/>
      <w:numFmt w:val="bullet"/>
      <w:lvlText w:val="■"/>
      <w:lvlJc w:val="left"/>
      <w:pPr>
        <w:ind w:left="2160" w:hanging="360"/>
      </w:pPr>
    </w:lvl>
    <w:lvl w:ilvl="3" w:tplc="46AA47E2">
      <w:start w:val="1"/>
      <w:numFmt w:val="bullet"/>
      <w:lvlText w:val="●"/>
      <w:lvlJc w:val="left"/>
      <w:pPr>
        <w:ind w:left="2880" w:hanging="360"/>
      </w:pPr>
    </w:lvl>
    <w:lvl w:ilvl="4" w:tplc="29563CF8">
      <w:start w:val="1"/>
      <w:numFmt w:val="bullet"/>
      <w:lvlText w:val="○"/>
      <w:lvlJc w:val="left"/>
      <w:pPr>
        <w:ind w:left="3600" w:hanging="360"/>
      </w:pPr>
    </w:lvl>
    <w:lvl w:ilvl="5" w:tplc="6E205B8C">
      <w:start w:val="1"/>
      <w:numFmt w:val="bullet"/>
      <w:lvlText w:val="■"/>
      <w:lvlJc w:val="left"/>
      <w:pPr>
        <w:ind w:left="4320" w:hanging="360"/>
      </w:pPr>
    </w:lvl>
    <w:lvl w:ilvl="6" w:tplc="91E0D2AC">
      <w:start w:val="1"/>
      <w:numFmt w:val="bullet"/>
      <w:lvlText w:val="●"/>
      <w:lvlJc w:val="left"/>
      <w:pPr>
        <w:ind w:left="5040" w:hanging="360"/>
      </w:pPr>
    </w:lvl>
    <w:lvl w:ilvl="7" w:tplc="BE1A62A8">
      <w:start w:val="1"/>
      <w:numFmt w:val="bullet"/>
      <w:lvlText w:val="●"/>
      <w:lvlJc w:val="left"/>
      <w:pPr>
        <w:ind w:left="5760" w:hanging="360"/>
      </w:pPr>
    </w:lvl>
    <w:lvl w:ilvl="8" w:tplc="366C46C6">
      <w:start w:val="1"/>
      <w:numFmt w:val="bullet"/>
      <w:lvlText w:val="●"/>
      <w:lvlJc w:val="left"/>
      <w:pPr>
        <w:ind w:left="6480" w:hanging="360"/>
      </w:pPr>
    </w:lvl>
  </w:abstractNum>
  <w:num w:numId="1" w16cid:durableId="18120148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3"/>
    <w:rsid w:val="00345D53"/>
    <w:rsid w:val="006E22B0"/>
    <w:rsid w:val="008D2BB4"/>
    <w:rsid w:val="00AA5510"/>
    <w:rsid w:val="00D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66FA"/>
  <w15:docId w15:val="{F53B1619-CFE2-4C5A-869C-AFA0A527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2</cp:revision>
  <cp:lastPrinted>2026-05-25T23:09:00Z</cp:lastPrinted>
  <dcterms:created xsi:type="dcterms:W3CDTF">2026-05-26T00:08:00Z</dcterms:created>
  <dcterms:modified xsi:type="dcterms:W3CDTF">2026-05-26T00:08:00Z</dcterms:modified>
</cp:coreProperties>
</file>